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D09" w:rsidRPr="00CE30B5" w:rsidRDefault="00BD0D09" w:rsidP="00BD0D09">
      <w:pPr>
        <w:spacing w:before="100" w:beforeAutospacing="1" w:after="100" w:afterAutospacing="1" w:line="240" w:lineRule="auto"/>
        <w:outlineLvl w:val="2"/>
        <w:rPr>
          <w:rFonts w:ascii="Georgia" w:eastAsia="Times New Roman" w:hAnsi="Georgia" w:cs="Times New Roman"/>
          <w:color w:val="D3232D"/>
          <w:sz w:val="24"/>
          <w:szCs w:val="24"/>
          <w:lang w:val="en"/>
        </w:rPr>
      </w:pPr>
      <w:bookmarkStart w:id="0" w:name="_GoBack"/>
      <w:bookmarkEnd w:id="0"/>
      <w:r w:rsidRPr="00CE30B5">
        <w:rPr>
          <w:rFonts w:ascii="Georgia" w:eastAsia="Times New Roman" w:hAnsi="Georgia" w:cs="Times New Roman"/>
          <w:color w:val="D3232D"/>
          <w:sz w:val="24"/>
          <w:szCs w:val="24"/>
          <w:lang w:val="en"/>
        </w:rPr>
        <w:t>Principles of Good Advising</w:t>
      </w:r>
    </w:p>
    <w:p w:rsidR="00BD0D09" w:rsidRPr="00CE30B5" w:rsidRDefault="00BD0D09" w:rsidP="00BD0D09">
      <w:pPr>
        <w:spacing w:before="100" w:beforeAutospacing="1" w:after="100" w:afterAutospacing="1" w:line="240" w:lineRule="auto"/>
        <w:rPr>
          <w:rFonts w:ascii="Georgia" w:eastAsia="Times New Roman" w:hAnsi="Georgia" w:cs="Times New Roman"/>
          <w:color w:val="5E4C4B"/>
          <w:sz w:val="20"/>
          <w:szCs w:val="20"/>
          <w:lang w:val="en"/>
        </w:rPr>
      </w:pPr>
      <w:r w:rsidRPr="00CE30B5">
        <w:rPr>
          <w:rFonts w:ascii="Georgia" w:eastAsia="Times New Roman" w:hAnsi="Georgia" w:cs="Times New Roman"/>
          <w:color w:val="5E4C4B"/>
          <w:sz w:val="20"/>
          <w:szCs w:val="20"/>
          <w:lang w:val="en"/>
        </w:rPr>
        <w:br/>
        <w:t xml:space="preserve">Academic Advising is an important aspect of teaching at Dickinson College. An excellent academic advisor is accessible to students and is an effective listener and communicator who is also knowledgeable about academic programs, regulations, and resources; is concerned about student performance and development; and is aware of career opportunities and services. The excellent academic advisor provides sufficient time for advising, maintains confidentiality in the advising relationship, and refers students to other resources as appropriate. </w:t>
      </w:r>
      <w:r w:rsidRPr="00CE30B5">
        <w:rPr>
          <w:rFonts w:ascii="Georgia" w:eastAsia="Times New Roman" w:hAnsi="Georgia" w:cs="Times New Roman"/>
          <w:color w:val="5E4C4B"/>
          <w:sz w:val="20"/>
          <w:szCs w:val="20"/>
          <w:lang w:val="en"/>
        </w:rPr>
        <w:br/>
      </w:r>
      <w:r w:rsidRPr="00CE30B5">
        <w:rPr>
          <w:rFonts w:ascii="Georgia" w:eastAsia="Times New Roman" w:hAnsi="Georgia" w:cs="Times New Roman"/>
          <w:color w:val="5E4C4B"/>
          <w:sz w:val="20"/>
          <w:szCs w:val="20"/>
          <w:lang w:val="en"/>
        </w:rPr>
        <w:br/>
      </w:r>
      <w:r w:rsidRPr="00CE30B5">
        <w:rPr>
          <w:rFonts w:ascii="Georgia" w:eastAsia="Times New Roman" w:hAnsi="Georgia" w:cs="Times New Roman"/>
          <w:b/>
          <w:color w:val="5E4C4B"/>
          <w:sz w:val="20"/>
          <w:szCs w:val="20"/>
          <w:lang w:val="en"/>
        </w:rPr>
        <w:t xml:space="preserve">Excellent advisors help their advisees: </w:t>
      </w:r>
      <w:r w:rsidRPr="00CE30B5">
        <w:rPr>
          <w:rFonts w:ascii="Georgia" w:eastAsia="Times New Roman" w:hAnsi="Georgia" w:cs="Times New Roman"/>
          <w:b/>
          <w:color w:val="5E4C4B"/>
          <w:sz w:val="20"/>
          <w:szCs w:val="20"/>
          <w:lang w:val="en"/>
        </w:rPr>
        <w:br/>
      </w:r>
      <w:r w:rsidRPr="00CE30B5">
        <w:rPr>
          <w:rFonts w:ascii="Georgia" w:eastAsia="Times New Roman" w:hAnsi="Georgia" w:cs="Times New Roman"/>
          <w:b/>
          <w:color w:val="5E4C4B"/>
          <w:sz w:val="20"/>
          <w:szCs w:val="20"/>
          <w:lang w:val="en"/>
        </w:rPr>
        <w:br/>
        <w:t xml:space="preserve">1) explore their intellectual interests and the learning opportunities available to them; </w:t>
      </w:r>
      <w:r w:rsidRPr="00CE30B5">
        <w:rPr>
          <w:rFonts w:ascii="Georgia" w:eastAsia="Times New Roman" w:hAnsi="Georgia" w:cs="Times New Roman"/>
          <w:b/>
          <w:color w:val="5E4C4B"/>
          <w:sz w:val="20"/>
          <w:szCs w:val="20"/>
          <w:lang w:val="en"/>
        </w:rPr>
        <w:br/>
      </w:r>
      <w:r w:rsidRPr="00CE30B5">
        <w:rPr>
          <w:rFonts w:ascii="Georgia" w:eastAsia="Times New Roman" w:hAnsi="Georgia" w:cs="Times New Roman"/>
          <w:color w:val="5E4C4B"/>
          <w:sz w:val="20"/>
          <w:szCs w:val="20"/>
          <w:lang w:val="en"/>
        </w:rPr>
        <w:br/>
        <w:t xml:space="preserve">Good advising is a </w:t>
      </w:r>
      <w:r w:rsidRPr="00CE30B5">
        <w:rPr>
          <w:rFonts w:ascii="Georgia" w:eastAsia="Times New Roman" w:hAnsi="Georgia" w:cs="Times New Roman"/>
          <w:color w:val="5E4C4B"/>
          <w:sz w:val="20"/>
          <w:szCs w:val="20"/>
          <w:u w:val="single"/>
          <w:lang w:val="en"/>
        </w:rPr>
        <w:t>shared responsibility in a community of inquiry</w:t>
      </w:r>
      <w:r w:rsidRPr="00CE30B5">
        <w:rPr>
          <w:rFonts w:ascii="Georgia" w:eastAsia="Times New Roman" w:hAnsi="Georgia" w:cs="Times New Roman"/>
          <w:color w:val="5E4C4B"/>
          <w:sz w:val="20"/>
          <w:szCs w:val="20"/>
          <w:lang w:val="en"/>
        </w:rPr>
        <w:t xml:space="preserve">. Individual academic advisors are only the most visible bearer of that responsibility. Other individuals - instructors, administrative officials, athletic coaches, and peers - are important formal or informal contributors. Furthermore, academic departments and programs and offices such as Global Education, Career Center, and Student Development play crucial roles in providing academic and career-related advice not only to individual students but the college community as a whole. </w:t>
      </w:r>
      <w:r w:rsidRPr="00CE30B5">
        <w:rPr>
          <w:rFonts w:ascii="Georgia" w:eastAsia="Times New Roman" w:hAnsi="Georgia" w:cs="Times New Roman"/>
          <w:color w:val="5E4C4B"/>
          <w:sz w:val="20"/>
          <w:szCs w:val="20"/>
          <w:lang w:val="en"/>
        </w:rPr>
        <w:br/>
      </w:r>
      <w:r w:rsidRPr="00CE30B5">
        <w:rPr>
          <w:rFonts w:ascii="Georgia" w:eastAsia="Times New Roman" w:hAnsi="Georgia" w:cs="Times New Roman"/>
          <w:color w:val="5E4C4B"/>
          <w:sz w:val="20"/>
          <w:szCs w:val="20"/>
          <w:lang w:val="en"/>
        </w:rPr>
        <w:br/>
      </w:r>
      <w:r w:rsidRPr="00CE30B5">
        <w:rPr>
          <w:rFonts w:ascii="Georgia" w:eastAsia="Times New Roman" w:hAnsi="Georgia" w:cs="Times New Roman"/>
          <w:b/>
          <w:color w:val="5E4C4B"/>
          <w:sz w:val="20"/>
          <w:szCs w:val="20"/>
          <w:lang w:val="en"/>
        </w:rPr>
        <w:t xml:space="preserve">2) </w:t>
      </w:r>
      <w:proofErr w:type="gramStart"/>
      <w:r w:rsidRPr="00CE30B5">
        <w:rPr>
          <w:rFonts w:ascii="Georgia" w:eastAsia="Times New Roman" w:hAnsi="Georgia" w:cs="Times New Roman"/>
          <w:b/>
          <w:color w:val="5E4C4B"/>
          <w:sz w:val="20"/>
          <w:szCs w:val="20"/>
          <w:lang w:val="en"/>
        </w:rPr>
        <w:t>articulate</w:t>
      </w:r>
      <w:proofErr w:type="gramEnd"/>
      <w:r w:rsidRPr="00CE30B5">
        <w:rPr>
          <w:rFonts w:ascii="Georgia" w:eastAsia="Times New Roman" w:hAnsi="Georgia" w:cs="Times New Roman"/>
          <w:b/>
          <w:color w:val="5E4C4B"/>
          <w:sz w:val="20"/>
          <w:szCs w:val="20"/>
          <w:lang w:val="en"/>
        </w:rPr>
        <w:t xml:space="preserve"> their educational objectives, </w:t>
      </w:r>
      <w:r w:rsidRPr="00CE30B5">
        <w:rPr>
          <w:rFonts w:ascii="Georgia" w:eastAsia="Times New Roman" w:hAnsi="Georgia" w:cs="Times New Roman"/>
          <w:b/>
          <w:color w:val="5E4C4B"/>
          <w:sz w:val="20"/>
          <w:szCs w:val="20"/>
          <w:lang w:val="en"/>
        </w:rPr>
        <w:br/>
      </w:r>
      <w:r w:rsidRPr="00CE30B5">
        <w:rPr>
          <w:rFonts w:ascii="Georgia" w:eastAsia="Times New Roman" w:hAnsi="Georgia" w:cs="Times New Roman"/>
          <w:color w:val="5E4C4B"/>
          <w:sz w:val="20"/>
          <w:szCs w:val="20"/>
          <w:lang w:val="en"/>
        </w:rPr>
        <w:br/>
        <w:t xml:space="preserve">Good advising encourages </w:t>
      </w:r>
      <w:r w:rsidRPr="00CE30B5">
        <w:rPr>
          <w:rFonts w:ascii="Georgia" w:eastAsia="Times New Roman" w:hAnsi="Georgia" w:cs="Times New Roman"/>
          <w:color w:val="5E4C4B"/>
          <w:sz w:val="20"/>
          <w:szCs w:val="20"/>
          <w:u w:val="single"/>
          <w:lang w:val="en"/>
        </w:rPr>
        <w:t>students to articulate their own educational goals</w:t>
      </w:r>
      <w:r w:rsidRPr="00CE30B5">
        <w:rPr>
          <w:rFonts w:ascii="Georgia" w:eastAsia="Times New Roman" w:hAnsi="Georgia" w:cs="Times New Roman"/>
          <w:color w:val="5E4C4B"/>
          <w:sz w:val="20"/>
          <w:szCs w:val="20"/>
          <w:lang w:val="en"/>
        </w:rPr>
        <w:t xml:space="preserve">. Well-advised students reflect upon the relationship between those objectives and other choices they make to inform not only course sections but also decisions such as studying off campus or participating in internships and co-curricular activities. </w:t>
      </w:r>
      <w:r w:rsidRPr="00CE30B5">
        <w:rPr>
          <w:rFonts w:ascii="Georgia" w:eastAsia="Times New Roman" w:hAnsi="Georgia" w:cs="Times New Roman"/>
          <w:color w:val="5E4C4B"/>
          <w:sz w:val="20"/>
          <w:szCs w:val="20"/>
          <w:lang w:val="en"/>
        </w:rPr>
        <w:br/>
      </w:r>
      <w:r w:rsidRPr="00CE30B5">
        <w:rPr>
          <w:rFonts w:ascii="Georgia" w:eastAsia="Times New Roman" w:hAnsi="Georgia" w:cs="Times New Roman"/>
          <w:color w:val="5E4C4B"/>
          <w:sz w:val="20"/>
          <w:szCs w:val="20"/>
          <w:lang w:val="en"/>
        </w:rPr>
        <w:br/>
      </w:r>
      <w:r w:rsidRPr="00CE30B5">
        <w:rPr>
          <w:rFonts w:ascii="Georgia" w:eastAsia="Times New Roman" w:hAnsi="Georgia" w:cs="Times New Roman"/>
          <w:b/>
          <w:color w:val="5E4C4B"/>
          <w:sz w:val="20"/>
          <w:szCs w:val="20"/>
          <w:lang w:val="en"/>
        </w:rPr>
        <w:t xml:space="preserve">3) </w:t>
      </w:r>
      <w:proofErr w:type="gramStart"/>
      <w:r w:rsidRPr="00CE30B5">
        <w:rPr>
          <w:rFonts w:ascii="Georgia" w:eastAsia="Times New Roman" w:hAnsi="Georgia" w:cs="Times New Roman"/>
          <w:b/>
          <w:color w:val="5E4C4B"/>
          <w:sz w:val="20"/>
          <w:szCs w:val="20"/>
          <w:lang w:val="en"/>
        </w:rPr>
        <w:t>develop</w:t>
      </w:r>
      <w:proofErr w:type="gramEnd"/>
      <w:r w:rsidRPr="00CE30B5">
        <w:rPr>
          <w:rFonts w:ascii="Georgia" w:eastAsia="Times New Roman" w:hAnsi="Georgia" w:cs="Times New Roman"/>
          <w:b/>
          <w:color w:val="5E4C4B"/>
          <w:sz w:val="20"/>
          <w:szCs w:val="20"/>
          <w:lang w:val="en"/>
        </w:rPr>
        <w:t xml:space="preserve"> a coherent academic program, </w:t>
      </w:r>
      <w:r w:rsidRPr="00CE30B5">
        <w:rPr>
          <w:rFonts w:ascii="Georgia" w:eastAsia="Times New Roman" w:hAnsi="Georgia" w:cs="Times New Roman"/>
          <w:b/>
          <w:color w:val="5E4C4B"/>
          <w:sz w:val="20"/>
          <w:szCs w:val="20"/>
          <w:lang w:val="en"/>
        </w:rPr>
        <w:br/>
      </w:r>
      <w:r w:rsidRPr="00CE30B5">
        <w:rPr>
          <w:rFonts w:ascii="Georgia" w:eastAsia="Times New Roman" w:hAnsi="Georgia" w:cs="Times New Roman"/>
          <w:color w:val="5E4C4B"/>
          <w:sz w:val="20"/>
          <w:szCs w:val="20"/>
          <w:lang w:val="en"/>
        </w:rPr>
        <w:br/>
        <w:t xml:space="preserve">Good advising not only </w:t>
      </w:r>
      <w:r w:rsidRPr="00CE30B5">
        <w:rPr>
          <w:rFonts w:ascii="Georgia" w:eastAsia="Times New Roman" w:hAnsi="Georgia" w:cs="Times New Roman"/>
          <w:color w:val="5E4C4B"/>
          <w:sz w:val="20"/>
          <w:szCs w:val="20"/>
          <w:u w:val="single"/>
          <w:lang w:val="en"/>
        </w:rPr>
        <w:t>helps students understand the requirements for a Dickinson degree</w:t>
      </w:r>
      <w:r w:rsidRPr="00CE30B5">
        <w:rPr>
          <w:rFonts w:ascii="Georgia" w:eastAsia="Times New Roman" w:hAnsi="Georgia" w:cs="Times New Roman"/>
          <w:color w:val="5E4C4B"/>
          <w:sz w:val="20"/>
          <w:szCs w:val="20"/>
          <w:lang w:val="en"/>
        </w:rPr>
        <w:t xml:space="preserve">, (including the individual distribution requirements and those for majors and other academic programs), but also fosters consideration of the </w:t>
      </w:r>
      <w:r w:rsidRPr="00CE30B5">
        <w:rPr>
          <w:rFonts w:ascii="Georgia" w:eastAsia="Times New Roman" w:hAnsi="Georgia" w:cs="Times New Roman"/>
          <w:color w:val="5E4C4B"/>
          <w:sz w:val="20"/>
          <w:szCs w:val="20"/>
          <w:u w:val="single"/>
          <w:lang w:val="en"/>
        </w:rPr>
        <w:t>reasons for such requirements</w:t>
      </w:r>
      <w:r w:rsidRPr="00CE30B5">
        <w:rPr>
          <w:rFonts w:ascii="Georgia" w:eastAsia="Times New Roman" w:hAnsi="Georgia" w:cs="Times New Roman"/>
          <w:color w:val="5E4C4B"/>
          <w:sz w:val="20"/>
          <w:szCs w:val="20"/>
          <w:lang w:val="en"/>
        </w:rPr>
        <w:t xml:space="preserve">. </w:t>
      </w:r>
      <w:r w:rsidRPr="00CE30B5">
        <w:rPr>
          <w:rFonts w:ascii="Georgia" w:eastAsia="Times New Roman" w:hAnsi="Georgia" w:cs="Times New Roman"/>
          <w:color w:val="5E4C4B"/>
          <w:sz w:val="20"/>
          <w:szCs w:val="20"/>
          <w:lang w:val="en"/>
        </w:rPr>
        <w:br/>
      </w:r>
      <w:r w:rsidRPr="00CE30B5">
        <w:rPr>
          <w:rFonts w:ascii="Georgia" w:eastAsia="Times New Roman" w:hAnsi="Georgia" w:cs="Times New Roman"/>
          <w:color w:val="5E4C4B"/>
          <w:sz w:val="20"/>
          <w:szCs w:val="20"/>
          <w:lang w:val="en"/>
        </w:rPr>
        <w:br/>
      </w:r>
      <w:r w:rsidRPr="00CE30B5">
        <w:rPr>
          <w:rFonts w:ascii="Georgia" w:eastAsia="Times New Roman" w:hAnsi="Georgia" w:cs="Times New Roman"/>
          <w:b/>
          <w:color w:val="5E4C4B"/>
          <w:sz w:val="20"/>
          <w:szCs w:val="20"/>
          <w:lang w:val="en"/>
        </w:rPr>
        <w:t xml:space="preserve">4) </w:t>
      </w:r>
      <w:proofErr w:type="gramStart"/>
      <w:r w:rsidRPr="00CE30B5">
        <w:rPr>
          <w:rFonts w:ascii="Georgia" w:eastAsia="Times New Roman" w:hAnsi="Georgia" w:cs="Times New Roman"/>
          <w:b/>
          <w:color w:val="5E4C4B"/>
          <w:sz w:val="20"/>
          <w:szCs w:val="20"/>
          <w:lang w:val="en"/>
        </w:rPr>
        <w:t>prepare</w:t>
      </w:r>
      <w:proofErr w:type="gramEnd"/>
      <w:r w:rsidRPr="00CE30B5">
        <w:rPr>
          <w:rFonts w:ascii="Georgia" w:eastAsia="Times New Roman" w:hAnsi="Georgia" w:cs="Times New Roman"/>
          <w:b/>
          <w:color w:val="5E4C4B"/>
          <w:sz w:val="20"/>
          <w:szCs w:val="20"/>
          <w:lang w:val="en"/>
        </w:rPr>
        <w:t xml:space="preserve"> and plan for the transition from college to the world of work and further education. </w:t>
      </w:r>
      <w:r w:rsidRPr="00CE30B5">
        <w:rPr>
          <w:rFonts w:ascii="Georgia" w:eastAsia="Times New Roman" w:hAnsi="Georgia" w:cs="Times New Roman"/>
          <w:color w:val="5E4C4B"/>
          <w:sz w:val="20"/>
          <w:szCs w:val="20"/>
          <w:lang w:val="en"/>
        </w:rPr>
        <w:br/>
      </w:r>
      <w:r w:rsidRPr="00CE30B5">
        <w:rPr>
          <w:rFonts w:ascii="Georgia" w:eastAsia="Times New Roman" w:hAnsi="Georgia" w:cs="Times New Roman"/>
          <w:color w:val="5E4C4B"/>
          <w:sz w:val="20"/>
          <w:szCs w:val="20"/>
          <w:lang w:val="en"/>
        </w:rPr>
        <w:br/>
        <w:t xml:space="preserve">Good advising prepares students for </w:t>
      </w:r>
      <w:r w:rsidRPr="00CE30B5">
        <w:rPr>
          <w:rFonts w:ascii="Georgia" w:eastAsia="Times New Roman" w:hAnsi="Georgia" w:cs="Times New Roman"/>
          <w:color w:val="5E4C4B"/>
          <w:sz w:val="20"/>
          <w:szCs w:val="20"/>
          <w:u w:val="single"/>
          <w:lang w:val="en"/>
        </w:rPr>
        <w:t>careers and appropriate graduate education</w:t>
      </w:r>
      <w:r w:rsidRPr="00CE30B5">
        <w:rPr>
          <w:rFonts w:ascii="Georgia" w:eastAsia="Times New Roman" w:hAnsi="Georgia" w:cs="Times New Roman"/>
          <w:color w:val="5E4C4B"/>
          <w:sz w:val="20"/>
          <w:szCs w:val="20"/>
          <w:lang w:val="en"/>
        </w:rPr>
        <w:t xml:space="preserve">. We succeed as a College to the extent that our students go on to productive and rewarding careers that suit their skills, interests, and values. Good advising recognizes and works towards this goal. </w:t>
      </w:r>
      <w:r w:rsidRPr="00CE30B5">
        <w:rPr>
          <w:rFonts w:ascii="Georgia" w:eastAsia="Times New Roman" w:hAnsi="Georgia" w:cs="Times New Roman"/>
          <w:color w:val="5E4C4B"/>
          <w:sz w:val="20"/>
          <w:szCs w:val="20"/>
          <w:lang w:val="en"/>
        </w:rPr>
        <w:br/>
      </w:r>
      <w:r w:rsidRPr="00CE30B5">
        <w:rPr>
          <w:rFonts w:ascii="Georgia" w:eastAsia="Times New Roman" w:hAnsi="Georgia" w:cs="Times New Roman"/>
          <w:color w:val="5E4C4B"/>
          <w:sz w:val="20"/>
          <w:szCs w:val="20"/>
          <w:lang w:val="en"/>
        </w:rPr>
        <w:br/>
        <w:t xml:space="preserve">Good advising helps students begin the process of exploring post-graduate opportunities appropriate to their discipline(s). </w:t>
      </w:r>
      <w:r w:rsidRPr="00CE30B5">
        <w:rPr>
          <w:rFonts w:ascii="Georgia" w:eastAsia="Times New Roman" w:hAnsi="Georgia" w:cs="Times New Roman"/>
          <w:color w:val="5E4C4B"/>
          <w:sz w:val="20"/>
          <w:szCs w:val="20"/>
          <w:lang w:val="en"/>
        </w:rPr>
        <w:br/>
      </w:r>
      <w:r w:rsidRPr="00CE30B5">
        <w:rPr>
          <w:rFonts w:ascii="Georgia" w:eastAsia="Times New Roman" w:hAnsi="Georgia" w:cs="Times New Roman"/>
          <w:color w:val="5E4C4B"/>
          <w:sz w:val="20"/>
          <w:szCs w:val="20"/>
          <w:lang w:val="en"/>
        </w:rPr>
        <w:br/>
        <w:t xml:space="preserve">Advising for careers and advanced education begins in the first year as a process of helping students search for disciplines in which they excel and which they enjoy. </w:t>
      </w:r>
    </w:p>
    <w:p w:rsidR="00BD0D09" w:rsidRDefault="00BD0D09" w:rsidP="00BD0D09">
      <w:pPr>
        <w:spacing w:after="0"/>
        <w:rPr>
          <w:b/>
          <w:sz w:val="24"/>
          <w:szCs w:val="24"/>
        </w:rPr>
      </w:pPr>
    </w:p>
    <w:p w:rsidR="00BD0D09" w:rsidRPr="00CE30B5" w:rsidRDefault="00BD0D09" w:rsidP="00BD0D09">
      <w:pPr>
        <w:spacing w:after="0"/>
        <w:rPr>
          <w:sz w:val="20"/>
          <w:szCs w:val="20"/>
        </w:rPr>
      </w:pPr>
      <w:r w:rsidRPr="00CE30B5">
        <w:rPr>
          <w:sz w:val="20"/>
          <w:szCs w:val="20"/>
        </w:rPr>
        <w:t>(</w:t>
      </w:r>
      <w:r w:rsidRPr="00E8120E">
        <w:rPr>
          <w:i/>
          <w:sz w:val="20"/>
          <w:szCs w:val="20"/>
        </w:rPr>
        <w:t>Advising Handbook</w:t>
      </w:r>
      <w:r w:rsidRPr="00CE30B5">
        <w:rPr>
          <w:sz w:val="20"/>
          <w:szCs w:val="20"/>
        </w:rPr>
        <w:t xml:space="preserve"> </w:t>
      </w:r>
      <w:r>
        <w:rPr>
          <w:sz w:val="20"/>
          <w:szCs w:val="20"/>
        </w:rPr>
        <w:t xml:space="preserve">– document </w:t>
      </w:r>
      <w:r w:rsidRPr="00CE30B5">
        <w:rPr>
          <w:sz w:val="20"/>
          <w:szCs w:val="20"/>
        </w:rPr>
        <w:t xml:space="preserve">adopted by the APSC Summer Study Group, </w:t>
      </w:r>
      <w:proofErr w:type="gramStart"/>
      <w:r w:rsidRPr="00CE30B5">
        <w:rPr>
          <w:sz w:val="20"/>
          <w:szCs w:val="20"/>
        </w:rPr>
        <w:t>Summer</w:t>
      </w:r>
      <w:proofErr w:type="gramEnd"/>
      <w:r w:rsidRPr="00CE30B5">
        <w:rPr>
          <w:sz w:val="20"/>
          <w:szCs w:val="20"/>
        </w:rPr>
        <w:t xml:space="preserve"> 2006)</w:t>
      </w:r>
    </w:p>
    <w:p w:rsidR="00D6402B" w:rsidRDefault="00D6402B"/>
    <w:sectPr w:rsidR="00D64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09"/>
    <w:rsid w:val="00BD0D09"/>
    <w:rsid w:val="00D6402B"/>
    <w:rsid w:val="00D7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23330-7F83-49F0-ACBE-2D9DF8D9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Dickinson College</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ITConsult</dc:creator>
  <cp:lastModifiedBy>Burkett, Sarah</cp:lastModifiedBy>
  <cp:revision>2</cp:revision>
  <dcterms:created xsi:type="dcterms:W3CDTF">2013-11-05T17:25:00Z</dcterms:created>
  <dcterms:modified xsi:type="dcterms:W3CDTF">2013-11-05T17:25:00Z</dcterms:modified>
</cp:coreProperties>
</file>